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D30" w:rsidRDefault="00780D30" w:rsidP="00780D30">
      <w:pPr>
        <w:jc w:val="center"/>
        <w:rPr>
          <w:b/>
          <w:sz w:val="28"/>
          <w:szCs w:val="28"/>
          <w:lang w:val="uk-UA"/>
        </w:rPr>
      </w:pPr>
      <w:r w:rsidRPr="00780D30">
        <w:rPr>
          <w:b/>
          <w:sz w:val="28"/>
          <w:szCs w:val="28"/>
          <w:lang w:val="uk-UA"/>
        </w:rPr>
        <w:t>Результати моніторингу якості освіти</w:t>
      </w:r>
    </w:p>
    <w:p w:rsidR="00780D30" w:rsidRPr="00780D30" w:rsidRDefault="00780D30" w:rsidP="00780D30">
      <w:pPr>
        <w:jc w:val="center"/>
        <w:rPr>
          <w:b/>
          <w:sz w:val="28"/>
          <w:szCs w:val="28"/>
          <w:lang w:val="uk-UA"/>
        </w:rPr>
      </w:pPr>
    </w:p>
    <w:p w:rsidR="00780D30" w:rsidRPr="00AA2508" w:rsidRDefault="00780D30" w:rsidP="00780D30">
      <w:pPr>
        <w:jc w:val="center"/>
        <w:rPr>
          <w:b/>
          <w:sz w:val="28"/>
          <w:szCs w:val="28"/>
          <w:lang w:val="uk-UA"/>
        </w:rPr>
      </w:pPr>
      <w:r w:rsidRPr="00AA2508">
        <w:rPr>
          <w:b/>
          <w:sz w:val="28"/>
          <w:szCs w:val="28"/>
          <w:lang w:val="uk-UA"/>
        </w:rPr>
        <w:t>Навчально-виховний процес дошкільного відділення НВК №25</w:t>
      </w:r>
    </w:p>
    <w:p w:rsidR="00780D30" w:rsidRDefault="00780D30" w:rsidP="00780D30">
      <w:pPr>
        <w:ind w:firstLine="567"/>
        <w:jc w:val="both"/>
        <w:rPr>
          <w:sz w:val="28"/>
          <w:szCs w:val="28"/>
          <w:lang w:val="uk-UA"/>
        </w:rPr>
      </w:pPr>
      <w:r>
        <w:rPr>
          <w:sz w:val="28"/>
          <w:szCs w:val="28"/>
          <w:lang w:val="uk-UA"/>
        </w:rPr>
        <w:t>Аналіз результатів загального і соціального розвитку дітей у 201</w:t>
      </w:r>
      <w:r w:rsidR="0057273C">
        <w:rPr>
          <w:sz w:val="28"/>
          <w:szCs w:val="28"/>
          <w:lang w:val="uk-UA"/>
        </w:rPr>
        <w:t>7</w:t>
      </w:r>
      <w:r>
        <w:rPr>
          <w:sz w:val="28"/>
          <w:szCs w:val="28"/>
          <w:lang w:val="uk-UA"/>
        </w:rPr>
        <w:t>-201</w:t>
      </w:r>
      <w:r w:rsidR="0057273C">
        <w:rPr>
          <w:sz w:val="28"/>
          <w:szCs w:val="28"/>
          <w:lang w:val="uk-UA"/>
        </w:rPr>
        <w:t>8</w:t>
      </w:r>
      <w:r>
        <w:rPr>
          <w:sz w:val="28"/>
          <w:szCs w:val="28"/>
          <w:lang w:val="uk-UA"/>
        </w:rPr>
        <w:t xml:space="preserve"> навчальному році у порівнянні з минулими роками свідчить про стабільну роботу педагогічного колективу та раціональне побудування </w:t>
      </w:r>
      <w:proofErr w:type="spellStart"/>
      <w:r>
        <w:rPr>
          <w:sz w:val="28"/>
          <w:szCs w:val="28"/>
          <w:lang w:val="uk-UA"/>
        </w:rPr>
        <w:t>освітньо-виховного</w:t>
      </w:r>
      <w:proofErr w:type="spellEnd"/>
      <w:r>
        <w:rPr>
          <w:sz w:val="28"/>
          <w:szCs w:val="28"/>
          <w:lang w:val="uk-UA"/>
        </w:rPr>
        <w:t xml:space="preserve"> процесу.</w:t>
      </w:r>
    </w:p>
    <w:p w:rsidR="00780D30" w:rsidRDefault="00780D30" w:rsidP="00780D30">
      <w:pPr>
        <w:ind w:firstLine="567"/>
        <w:jc w:val="both"/>
        <w:rPr>
          <w:sz w:val="28"/>
          <w:szCs w:val="28"/>
          <w:lang w:val="uk-UA"/>
        </w:rPr>
      </w:pPr>
      <w:r>
        <w:rPr>
          <w:sz w:val="28"/>
          <w:szCs w:val="28"/>
          <w:lang w:val="uk-UA"/>
        </w:rPr>
        <w:t>Навчально-виховний процес у комплексі передбачає чергування різних видів діяльності. Заняття планувалися з урахуванням розумового і фізичного навантаження.</w:t>
      </w:r>
    </w:p>
    <w:p w:rsidR="0057273C" w:rsidRDefault="00780D30" w:rsidP="0057273C">
      <w:pPr>
        <w:ind w:firstLine="567"/>
        <w:jc w:val="both"/>
        <w:rPr>
          <w:sz w:val="28"/>
          <w:szCs w:val="28"/>
          <w:lang w:val="uk-UA"/>
        </w:rPr>
      </w:pPr>
      <w:r>
        <w:rPr>
          <w:sz w:val="28"/>
          <w:szCs w:val="28"/>
          <w:lang w:val="uk-UA"/>
        </w:rPr>
        <w:t xml:space="preserve">Динаміка результатів за рівнем діагностики у різних напрямках роботи показує, що високий рівень у засвоєнні ЗУН дітей складає у середньому 83%, а низький - 2%, ці показники значно покращилися відповідно до показників позаминулого року. Це свідчить про високий рівень </w:t>
      </w:r>
      <w:proofErr w:type="spellStart"/>
      <w:r>
        <w:rPr>
          <w:sz w:val="28"/>
          <w:szCs w:val="28"/>
          <w:lang w:val="uk-UA"/>
        </w:rPr>
        <w:t>освітньо-виховної</w:t>
      </w:r>
      <w:proofErr w:type="spellEnd"/>
      <w:r>
        <w:rPr>
          <w:sz w:val="28"/>
          <w:szCs w:val="28"/>
          <w:lang w:val="uk-UA"/>
        </w:rPr>
        <w:t xml:space="preserve"> роботи вихователів: </w:t>
      </w:r>
      <w:proofErr w:type="spellStart"/>
      <w:r w:rsidR="0057273C">
        <w:rPr>
          <w:sz w:val="28"/>
          <w:szCs w:val="28"/>
          <w:lang w:val="uk-UA"/>
        </w:rPr>
        <w:t>Кайноги</w:t>
      </w:r>
      <w:proofErr w:type="spellEnd"/>
      <w:r w:rsidR="0057273C">
        <w:rPr>
          <w:sz w:val="28"/>
          <w:szCs w:val="28"/>
          <w:lang w:val="uk-UA"/>
        </w:rPr>
        <w:t xml:space="preserve"> С.Л., Абакумової К.І., Сидоренко Г.В., </w:t>
      </w:r>
      <w:proofErr w:type="spellStart"/>
      <w:r w:rsidR="0057273C">
        <w:rPr>
          <w:sz w:val="28"/>
          <w:szCs w:val="28"/>
          <w:lang w:val="uk-UA"/>
        </w:rPr>
        <w:t>Вальчук</w:t>
      </w:r>
      <w:proofErr w:type="spellEnd"/>
      <w:r w:rsidR="0057273C">
        <w:rPr>
          <w:sz w:val="28"/>
          <w:szCs w:val="28"/>
          <w:lang w:val="uk-UA"/>
        </w:rPr>
        <w:t xml:space="preserve"> Л.О., Дорошевої С.П.</w:t>
      </w:r>
    </w:p>
    <w:p w:rsidR="00780D30" w:rsidRPr="005C66D3" w:rsidRDefault="00780D30" w:rsidP="00780D30">
      <w:pPr>
        <w:ind w:firstLine="567"/>
        <w:jc w:val="both"/>
        <w:rPr>
          <w:sz w:val="28"/>
          <w:szCs w:val="28"/>
        </w:rPr>
      </w:pPr>
      <w:r>
        <w:rPr>
          <w:sz w:val="28"/>
          <w:szCs w:val="28"/>
          <w:lang w:val="uk-UA"/>
        </w:rPr>
        <w:t>В НВК №25 інваріантна та варіативна складові, тобто організація життєдіяльності дітей з урахуванням освітніх ліній, забезпечується на належному рівні. У вересні 201</w:t>
      </w:r>
      <w:r w:rsidR="0057273C">
        <w:rPr>
          <w:sz w:val="28"/>
          <w:szCs w:val="28"/>
          <w:lang w:val="uk-UA"/>
        </w:rPr>
        <w:t>7</w:t>
      </w:r>
      <w:r>
        <w:rPr>
          <w:sz w:val="28"/>
          <w:szCs w:val="28"/>
          <w:lang w:val="uk-UA"/>
        </w:rPr>
        <w:t xml:space="preserve"> року була проведена вхідна діагностика рівня знань, умінь, навичок дітей з основних освітніх ліній. На основі діагностики організовано колективне та індивідуальне набуття різних видів </w:t>
      </w:r>
      <w:proofErr w:type="spellStart"/>
      <w:r>
        <w:rPr>
          <w:sz w:val="28"/>
          <w:szCs w:val="28"/>
          <w:lang w:val="uk-UA"/>
        </w:rPr>
        <w:t>компетенцій</w:t>
      </w:r>
      <w:proofErr w:type="spellEnd"/>
      <w:r>
        <w:rPr>
          <w:sz w:val="28"/>
          <w:szCs w:val="28"/>
          <w:lang w:val="uk-UA"/>
        </w:rPr>
        <w:t>. В зимово-весняний період проведені відкриті перегляди відрізків організації життєдіяльності дітей. Заняття були проведені змістовні, на високому рівні. Діти старших груп показали гарні результати знань на співбесіді до готовності перед вступом до школи. У травні 201</w:t>
      </w:r>
      <w:r w:rsidR="0057273C">
        <w:rPr>
          <w:sz w:val="28"/>
          <w:szCs w:val="28"/>
          <w:lang w:val="uk-UA"/>
        </w:rPr>
        <w:t>8</w:t>
      </w:r>
      <w:r>
        <w:rPr>
          <w:sz w:val="28"/>
          <w:szCs w:val="28"/>
          <w:lang w:val="uk-UA"/>
        </w:rPr>
        <w:t xml:space="preserve"> року була проведена вихідна діагностика рівня знань, умінь, навичок дітей згідно з програмою «Дитина», за якими працювали групи. </w:t>
      </w:r>
      <w:proofErr w:type="spellStart"/>
      <w:r>
        <w:rPr>
          <w:sz w:val="28"/>
          <w:szCs w:val="28"/>
          <w:lang w:val="uk-UA"/>
        </w:rPr>
        <w:t>Напротязі</w:t>
      </w:r>
      <w:proofErr w:type="spellEnd"/>
      <w:r>
        <w:rPr>
          <w:sz w:val="28"/>
          <w:szCs w:val="28"/>
          <w:lang w:val="uk-UA"/>
        </w:rPr>
        <w:t xml:space="preserve"> навчального року проведені виховні заходи, ведеться робота з батьками – спільні заняття, виховні заходи, батьківські збори.</w:t>
      </w:r>
    </w:p>
    <w:p w:rsidR="00780D30" w:rsidRPr="005C66D3" w:rsidRDefault="00780D30" w:rsidP="00780D30">
      <w:pPr>
        <w:ind w:firstLine="567"/>
        <w:jc w:val="both"/>
        <w:rPr>
          <w:sz w:val="28"/>
          <w:szCs w:val="28"/>
        </w:rPr>
      </w:pPr>
    </w:p>
    <w:p w:rsidR="00780D30" w:rsidRPr="000E4B5B" w:rsidRDefault="00780D30" w:rsidP="00780D30">
      <w:pPr>
        <w:jc w:val="center"/>
        <w:rPr>
          <w:b/>
          <w:sz w:val="28"/>
          <w:szCs w:val="28"/>
          <w:lang w:val="uk-UA"/>
        </w:rPr>
      </w:pPr>
      <w:r w:rsidRPr="000E4B5B">
        <w:rPr>
          <w:b/>
          <w:sz w:val="28"/>
          <w:szCs w:val="28"/>
          <w:lang w:val="uk-UA"/>
        </w:rPr>
        <w:t>Рівень засвоєння знань дошкільників НВК №25 за освітньою програмою</w:t>
      </w:r>
      <w:r w:rsidRPr="000E4B5B">
        <w:rPr>
          <w:b/>
          <w:sz w:val="28"/>
          <w:lang w:val="uk-UA"/>
        </w:rPr>
        <w:t xml:space="preserve"> </w:t>
      </w:r>
      <w:r w:rsidRPr="000E4B5B">
        <w:rPr>
          <w:b/>
          <w:sz w:val="28"/>
          <w:szCs w:val="28"/>
          <w:lang w:val="uk-UA" w:eastAsia="uk-UA"/>
        </w:rPr>
        <w:t>«Дитина»</w:t>
      </w:r>
      <w:r w:rsidRPr="000E4B5B">
        <w:rPr>
          <w:sz w:val="28"/>
          <w:szCs w:val="28"/>
          <w:lang w:val="uk-UA"/>
        </w:rPr>
        <w:t xml:space="preserve"> </w:t>
      </w:r>
    </w:p>
    <w:p w:rsidR="00780D30" w:rsidRPr="000E4B5B" w:rsidRDefault="00780D30" w:rsidP="00780D30">
      <w:pPr>
        <w:ind w:firstLine="567"/>
        <w:jc w:val="both"/>
        <w:rPr>
          <w:sz w:val="28"/>
          <w:szCs w:val="28"/>
          <w:lang w:val="uk-UA"/>
        </w:rPr>
      </w:pPr>
      <w:r w:rsidRPr="000E4B5B">
        <w:rPr>
          <w:sz w:val="28"/>
          <w:szCs w:val="28"/>
          <w:lang w:val="uk-UA"/>
        </w:rPr>
        <w:t>Рівень засвоєння знань дошкільників</w:t>
      </w:r>
      <w:r w:rsidRPr="000E4B5B">
        <w:rPr>
          <w:b/>
          <w:sz w:val="28"/>
          <w:szCs w:val="28"/>
          <w:lang w:val="uk-UA"/>
        </w:rPr>
        <w:t xml:space="preserve"> </w:t>
      </w:r>
      <w:r w:rsidRPr="000E4B5B">
        <w:rPr>
          <w:sz w:val="28"/>
          <w:szCs w:val="28"/>
          <w:lang w:val="uk-UA"/>
        </w:rPr>
        <w:t xml:space="preserve">позитивні, однак слід звернути увагу на необхідність більш щільної роботи з дітьми у розділах: мовленнєвий розвиток та формування елементарних математичних уявлень та за лініями розвитку: пізнавальним та мовленнєвим. </w:t>
      </w:r>
    </w:p>
    <w:p w:rsidR="00780D30" w:rsidRPr="000E4B5B" w:rsidRDefault="00780D30" w:rsidP="00780D30">
      <w:pPr>
        <w:ind w:firstLine="567"/>
        <w:jc w:val="both"/>
        <w:rPr>
          <w:sz w:val="28"/>
          <w:szCs w:val="28"/>
          <w:lang w:val="uk-UA"/>
        </w:rPr>
      </w:pPr>
      <w:r w:rsidRPr="000E4B5B">
        <w:rPr>
          <w:sz w:val="28"/>
          <w:szCs w:val="28"/>
          <w:lang w:val="uk-UA"/>
        </w:rPr>
        <w:t xml:space="preserve">Протягом минулого року практичний психолог </w:t>
      </w:r>
      <w:proofErr w:type="spellStart"/>
      <w:r w:rsidRPr="000E4B5B">
        <w:rPr>
          <w:sz w:val="28"/>
          <w:szCs w:val="28"/>
          <w:lang w:val="uk-UA"/>
        </w:rPr>
        <w:t>Фортунатова</w:t>
      </w:r>
      <w:proofErr w:type="spellEnd"/>
      <w:r w:rsidRPr="000E4B5B">
        <w:rPr>
          <w:sz w:val="28"/>
          <w:szCs w:val="28"/>
          <w:lang w:val="uk-UA"/>
        </w:rPr>
        <w:t xml:space="preserve"> М.О. здійснювала систему психологічного забезпечення освітнього процесу, об`єктивного виявлення та врахування рівня розвитку дітей в межах кожного етапу перебування в закладі. Діагностична робота в НВК №25 розглядається як частина системи роботи шкільного психолога у рамках моделі психологічного супроводу дитини. У рамках цієї моделі діагностика є прикладною формою діяльності шкільного психолога і має на меті інформаційне забезпечення процесу супроводу, щоб:</w:t>
      </w:r>
    </w:p>
    <w:p w:rsidR="00780D30" w:rsidRPr="000E4B5B" w:rsidRDefault="00780D30" w:rsidP="00780D30">
      <w:pPr>
        <w:pStyle w:val="a4"/>
        <w:numPr>
          <w:ilvl w:val="0"/>
          <w:numId w:val="1"/>
        </w:numPr>
        <w:spacing w:after="0" w:line="240" w:lineRule="auto"/>
        <w:ind w:left="714" w:hanging="357"/>
        <w:jc w:val="both"/>
        <w:rPr>
          <w:rFonts w:ascii="Times New Roman" w:hAnsi="Times New Roman"/>
          <w:sz w:val="28"/>
          <w:szCs w:val="28"/>
          <w:lang w:val="uk-UA"/>
        </w:rPr>
      </w:pPr>
      <w:r w:rsidRPr="000E4B5B">
        <w:rPr>
          <w:sz w:val="28"/>
          <w:szCs w:val="28"/>
          <w:lang w:val="uk-UA"/>
        </w:rPr>
        <w:t xml:space="preserve"> </w:t>
      </w:r>
      <w:r w:rsidRPr="000E4B5B">
        <w:rPr>
          <w:rFonts w:ascii="Times New Roman" w:hAnsi="Times New Roman"/>
          <w:sz w:val="28"/>
          <w:szCs w:val="28"/>
          <w:lang w:val="uk-UA"/>
        </w:rPr>
        <w:t>забезпечити контроль за динамікою психічного розвитку дітей з метою раннього виправлення можливих відхилень;</w:t>
      </w:r>
    </w:p>
    <w:p w:rsidR="00780D30" w:rsidRPr="000E4B5B" w:rsidRDefault="00780D30" w:rsidP="00780D30">
      <w:pPr>
        <w:pStyle w:val="a4"/>
        <w:numPr>
          <w:ilvl w:val="0"/>
          <w:numId w:val="1"/>
        </w:numPr>
        <w:spacing w:after="0" w:line="240" w:lineRule="auto"/>
        <w:ind w:left="714" w:hanging="357"/>
        <w:jc w:val="both"/>
        <w:rPr>
          <w:rFonts w:ascii="Times New Roman" w:hAnsi="Times New Roman"/>
          <w:sz w:val="28"/>
          <w:szCs w:val="28"/>
          <w:lang w:val="uk-UA"/>
        </w:rPr>
      </w:pPr>
      <w:r w:rsidRPr="000E4B5B">
        <w:rPr>
          <w:rFonts w:ascii="Times New Roman" w:hAnsi="Times New Roman"/>
          <w:sz w:val="28"/>
          <w:szCs w:val="28"/>
          <w:lang w:val="uk-UA"/>
        </w:rPr>
        <w:t>розробити програму подальшої роботи з дитиною з метою створення оптимальних умов розвитку;</w:t>
      </w:r>
    </w:p>
    <w:p w:rsidR="00780D30" w:rsidRPr="000E4B5B" w:rsidRDefault="00780D30" w:rsidP="00780D30">
      <w:pPr>
        <w:pStyle w:val="a4"/>
        <w:numPr>
          <w:ilvl w:val="0"/>
          <w:numId w:val="1"/>
        </w:numPr>
        <w:spacing w:after="0" w:line="240" w:lineRule="auto"/>
        <w:ind w:left="714" w:hanging="357"/>
        <w:jc w:val="both"/>
        <w:rPr>
          <w:rFonts w:ascii="Times New Roman" w:hAnsi="Times New Roman"/>
          <w:sz w:val="28"/>
          <w:szCs w:val="28"/>
          <w:lang w:val="uk-UA"/>
        </w:rPr>
      </w:pPr>
      <w:r w:rsidRPr="000E4B5B">
        <w:rPr>
          <w:rFonts w:ascii="Times New Roman" w:hAnsi="Times New Roman"/>
          <w:sz w:val="28"/>
          <w:szCs w:val="28"/>
          <w:lang w:val="uk-UA"/>
        </w:rPr>
        <w:t xml:space="preserve">продуктивно розвивати дітей, які мають особливі здібності. </w:t>
      </w:r>
    </w:p>
    <w:p w:rsidR="00780D30" w:rsidRPr="000E4B5B" w:rsidRDefault="00780D30" w:rsidP="00780D30">
      <w:pPr>
        <w:ind w:firstLine="567"/>
        <w:jc w:val="both"/>
        <w:rPr>
          <w:sz w:val="28"/>
          <w:szCs w:val="28"/>
          <w:lang w:val="uk-UA"/>
        </w:rPr>
      </w:pPr>
      <w:r w:rsidRPr="000E4B5B">
        <w:rPr>
          <w:sz w:val="28"/>
          <w:szCs w:val="28"/>
          <w:lang w:val="uk-UA"/>
        </w:rPr>
        <w:lastRenderedPageBreak/>
        <w:t xml:space="preserve">Діти-випускники мають на достатньому рівні розвинуті психічні процеси, добрі потенційні можливості в галузі розвитку працездатності і розумової активності; у дітей сформовані навички навчальної діяльності, саморегуляції, самостійності; розвинуті дії мислення: </w:t>
      </w:r>
      <w:proofErr w:type="spellStart"/>
      <w:r w:rsidRPr="000E4B5B">
        <w:rPr>
          <w:sz w:val="28"/>
          <w:szCs w:val="28"/>
          <w:lang w:val="uk-UA"/>
        </w:rPr>
        <w:t>серіація</w:t>
      </w:r>
      <w:proofErr w:type="spellEnd"/>
      <w:r w:rsidRPr="000E4B5B">
        <w:rPr>
          <w:sz w:val="28"/>
          <w:szCs w:val="28"/>
          <w:lang w:val="uk-UA"/>
        </w:rPr>
        <w:t xml:space="preserve">, класифікація, </w:t>
      </w:r>
      <w:proofErr w:type="spellStart"/>
      <w:r w:rsidRPr="000E4B5B">
        <w:rPr>
          <w:sz w:val="28"/>
          <w:szCs w:val="28"/>
          <w:lang w:val="uk-UA"/>
        </w:rPr>
        <w:t>абстрактування</w:t>
      </w:r>
      <w:proofErr w:type="spellEnd"/>
      <w:r w:rsidRPr="000E4B5B">
        <w:rPr>
          <w:sz w:val="28"/>
          <w:szCs w:val="28"/>
          <w:lang w:val="uk-UA"/>
        </w:rPr>
        <w:t>; сформована мотиваційна готовність до шкільного навчання.</w:t>
      </w:r>
    </w:p>
    <w:p w:rsidR="00780D30" w:rsidRDefault="00780D30" w:rsidP="00780D30">
      <w:pPr>
        <w:ind w:firstLine="567"/>
        <w:jc w:val="both"/>
        <w:rPr>
          <w:sz w:val="28"/>
          <w:szCs w:val="28"/>
          <w:lang w:val="uk-UA"/>
        </w:rPr>
      </w:pPr>
      <w:r w:rsidRPr="000E4B5B">
        <w:rPr>
          <w:sz w:val="28"/>
          <w:szCs w:val="28"/>
          <w:lang w:val="uk-UA"/>
        </w:rPr>
        <w:t>Залишаються проблемними питання підвищення самооцінки дошкільників і рівня самоконтролю. Особову увагу педагоги та практичний психолог приділяли індивідуальній роботі, що значно сприяло подальшому розвитку дітей та адаптації їх до шкільного навчання.</w:t>
      </w:r>
    </w:p>
    <w:p w:rsidR="00780D30" w:rsidRDefault="00780D30" w:rsidP="00780D30">
      <w:pPr>
        <w:ind w:firstLine="567"/>
        <w:jc w:val="both"/>
        <w:rPr>
          <w:sz w:val="28"/>
          <w:szCs w:val="28"/>
          <w:lang w:val="uk-UA"/>
        </w:rPr>
      </w:pPr>
    </w:p>
    <w:p w:rsidR="0057273C" w:rsidRDefault="0057273C" w:rsidP="0057273C">
      <w:pPr>
        <w:jc w:val="center"/>
        <w:rPr>
          <w:b/>
          <w:sz w:val="28"/>
          <w:szCs w:val="28"/>
          <w:lang w:val="uk-UA"/>
        </w:rPr>
      </w:pPr>
      <w:r>
        <w:rPr>
          <w:b/>
          <w:sz w:val="28"/>
          <w:szCs w:val="28"/>
          <w:lang w:val="uk-UA"/>
        </w:rPr>
        <w:t>Підсумки успішності учнів початкової школи</w:t>
      </w:r>
    </w:p>
    <w:p w:rsidR="0057273C" w:rsidRDefault="0057273C" w:rsidP="0057273C">
      <w:pPr>
        <w:jc w:val="center"/>
        <w:rPr>
          <w:b/>
          <w:sz w:val="28"/>
          <w:szCs w:val="28"/>
          <w:lang w:val="uk-UA"/>
        </w:rPr>
      </w:pPr>
      <w:r>
        <w:rPr>
          <w:b/>
          <w:sz w:val="28"/>
          <w:szCs w:val="28"/>
          <w:lang w:val="uk-UA"/>
        </w:rPr>
        <w:t>за 2017-2018 навчальний рік</w:t>
      </w:r>
    </w:p>
    <w:p w:rsidR="0057273C" w:rsidRDefault="0057273C" w:rsidP="0057273C">
      <w:pPr>
        <w:jc w:val="center"/>
        <w:rPr>
          <w:b/>
          <w:sz w:val="28"/>
          <w:szCs w:val="28"/>
          <w:lang w:val="uk-UA"/>
        </w:rPr>
      </w:pPr>
    </w:p>
    <w:p w:rsidR="0057273C" w:rsidRDefault="0057273C" w:rsidP="0057273C">
      <w:pPr>
        <w:ind w:firstLine="567"/>
        <w:rPr>
          <w:sz w:val="28"/>
          <w:szCs w:val="28"/>
          <w:lang w:val="uk-UA"/>
        </w:rPr>
      </w:pPr>
      <w:r>
        <w:rPr>
          <w:sz w:val="28"/>
          <w:szCs w:val="28"/>
          <w:lang w:val="uk-UA"/>
        </w:rPr>
        <w:t>На кінець 2017-2018 навчального року в школі навчалося 120 учнів, 120 учнів навчається в класах з поглибленим вивченням іноземної мови.</w:t>
      </w:r>
    </w:p>
    <w:p w:rsidR="0057273C" w:rsidRDefault="0057273C" w:rsidP="0057273C">
      <w:pPr>
        <w:ind w:firstLine="567"/>
        <w:rPr>
          <w:sz w:val="28"/>
          <w:szCs w:val="28"/>
          <w:lang w:val="uk-UA"/>
        </w:rPr>
      </w:pPr>
    </w:p>
    <w:p w:rsidR="0057273C" w:rsidRDefault="0057273C" w:rsidP="0057273C">
      <w:pPr>
        <w:jc w:val="center"/>
        <w:rPr>
          <w:b/>
          <w:sz w:val="28"/>
          <w:szCs w:val="28"/>
          <w:lang w:val="uk-UA"/>
        </w:rPr>
      </w:pPr>
      <w:r>
        <w:rPr>
          <w:b/>
          <w:sz w:val="28"/>
          <w:szCs w:val="28"/>
          <w:lang w:val="uk-UA"/>
        </w:rPr>
        <w:t xml:space="preserve">Результати навчальних досягнень учнів початкових класів </w:t>
      </w:r>
    </w:p>
    <w:p w:rsidR="0057273C" w:rsidRDefault="0057273C" w:rsidP="0057273C">
      <w:pPr>
        <w:jc w:val="center"/>
        <w:rPr>
          <w:b/>
          <w:sz w:val="28"/>
          <w:szCs w:val="28"/>
          <w:lang w:val="uk-UA"/>
        </w:rPr>
      </w:pPr>
      <w:r>
        <w:rPr>
          <w:b/>
          <w:sz w:val="28"/>
          <w:szCs w:val="28"/>
          <w:lang w:val="uk-UA"/>
        </w:rPr>
        <w:t>за підсумками 2016-2017 навчального року (учні 1-х класів не оцінюються):</w:t>
      </w:r>
    </w:p>
    <w:tbl>
      <w:tblPr>
        <w:tblStyle w:val="a3"/>
        <w:tblW w:w="0" w:type="auto"/>
        <w:tblLook w:val="04A0"/>
      </w:tblPr>
      <w:tblGrid>
        <w:gridCol w:w="1256"/>
        <w:gridCol w:w="1264"/>
        <w:gridCol w:w="1210"/>
        <w:gridCol w:w="1210"/>
        <w:gridCol w:w="1210"/>
        <w:gridCol w:w="1211"/>
        <w:gridCol w:w="1281"/>
        <w:gridCol w:w="1780"/>
      </w:tblGrid>
      <w:tr w:rsidR="0057273C" w:rsidTr="007459A5">
        <w:tc>
          <w:tcPr>
            <w:tcW w:w="1256"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Клас</w:t>
            </w:r>
          </w:p>
        </w:tc>
        <w:tc>
          <w:tcPr>
            <w:tcW w:w="1264"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proofErr w:type="spellStart"/>
            <w:r>
              <w:rPr>
                <w:sz w:val="28"/>
                <w:szCs w:val="28"/>
                <w:lang w:val="uk-UA"/>
              </w:rPr>
              <w:t>К-сть</w:t>
            </w:r>
            <w:proofErr w:type="spellEnd"/>
            <w:r>
              <w:rPr>
                <w:sz w:val="28"/>
                <w:szCs w:val="28"/>
                <w:lang w:val="uk-UA"/>
              </w:rPr>
              <w:t xml:space="preserve"> учнів</w:t>
            </w:r>
          </w:p>
        </w:tc>
        <w:tc>
          <w:tcPr>
            <w:tcW w:w="4841" w:type="dxa"/>
            <w:gridSpan w:val="4"/>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Рівень навчальних досягнень</w:t>
            </w:r>
          </w:p>
        </w:tc>
        <w:tc>
          <w:tcPr>
            <w:tcW w:w="1281"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Якість %</w:t>
            </w:r>
          </w:p>
        </w:tc>
        <w:tc>
          <w:tcPr>
            <w:tcW w:w="1780"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Успішність %</w:t>
            </w:r>
          </w:p>
        </w:tc>
      </w:tr>
      <w:tr w:rsidR="0057273C" w:rsidTr="007459A5">
        <w:tc>
          <w:tcPr>
            <w:tcW w:w="0" w:type="auto"/>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В</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Д</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С</w:t>
            </w:r>
          </w:p>
        </w:tc>
        <w:tc>
          <w:tcPr>
            <w:tcW w:w="1211"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r>
      <w:tr w:rsidR="0057273C" w:rsidTr="007459A5">
        <w:tc>
          <w:tcPr>
            <w:tcW w:w="1256"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1-А</w:t>
            </w:r>
          </w:p>
        </w:tc>
        <w:tc>
          <w:tcPr>
            <w:tcW w:w="126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31</w:t>
            </w:r>
          </w:p>
        </w:tc>
        <w:tc>
          <w:tcPr>
            <w:tcW w:w="4841" w:type="dxa"/>
            <w:gridSpan w:val="4"/>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Вербальне оцінювання</w:t>
            </w:r>
          </w:p>
        </w:tc>
        <w:tc>
          <w:tcPr>
            <w:tcW w:w="1281" w:type="dxa"/>
            <w:tcBorders>
              <w:top w:val="single" w:sz="4" w:space="0" w:color="auto"/>
              <w:left w:val="single" w:sz="4" w:space="0" w:color="auto"/>
              <w:bottom w:val="single" w:sz="4" w:space="0" w:color="auto"/>
              <w:right w:val="single" w:sz="4" w:space="0" w:color="auto"/>
            </w:tcBorders>
          </w:tcPr>
          <w:p w:rsidR="0057273C" w:rsidRDefault="0057273C" w:rsidP="007459A5">
            <w:pPr>
              <w:jc w:val="center"/>
              <w:rPr>
                <w:sz w:val="28"/>
                <w:szCs w:val="28"/>
                <w:lang w:val="uk-UA"/>
              </w:rPr>
            </w:pPr>
          </w:p>
        </w:tc>
        <w:tc>
          <w:tcPr>
            <w:tcW w:w="1780" w:type="dxa"/>
            <w:tcBorders>
              <w:top w:val="single" w:sz="4" w:space="0" w:color="auto"/>
              <w:left w:val="single" w:sz="4" w:space="0" w:color="auto"/>
              <w:bottom w:val="single" w:sz="4" w:space="0" w:color="auto"/>
              <w:right w:val="single" w:sz="4" w:space="0" w:color="auto"/>
            </w:tcBorders>
          </w:tcPr>
          <w:p w:rsidR="0057273C" w:rsidRDefault="0057273C" w:rsidP="007459A5">
            <w:pPr>
              <w:jc w:val="center"/>
              <w:rPr>
                <w:sz w:val="28"/>
                <w:szCs w:val="28"/>
                <w:lang w:val="uk-UA"/>
              </w:rPr>
            </w:pPr>
          </w:p>
        </w:tc>
      </w:tr>
      <w:tr w:rsidR="0057273C" w:rsidTr="007459A5">
        <w:tc>
          <w:tcPr>
            <w:tcW w:w="1256"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2-А</w:t>
            </w:r>
          </w:p>
        </w:tc>
        <w:tc>
          <w:tcPr>
            <w:tcW w:w="126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32</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7</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20</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5</w:t>
            </w:r>
          </w:p>
        </w:tc>
        <w:tc>
          <w:tcPr>
            <w:tcW w:w="1211"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1281"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84,4</w:t>
            </w:r>
          </w:p>
        </w:tc>
        <w:tc>
          <w:tcPr>
            <w:tcW w:w="178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r>
      <w:tr w:rsidR="0057273C" w:rsidTr="007459A5">
        <w:tc>
          <w:tcPr>
            <w:tcW w:w="1256"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3-А</w:t>
            </w:r>
          </w:p>
        </w:tc>
        <w:tc>
          <w:tcPr>
            <w:tcW w:w="126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31</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4</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21</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6</w:t>
            </w:r>
          </w:p>
        </w:tc>
        <w:tc>
          <w:tcPr>
            <w:tcW w:w="1211"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1281"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80,6</w:t>
            </w:r>
          </w:p>
        </w:tc>
        <w:tc>
          <w:tcPr>
            <w:tcW w:w="178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r>
      <w:tr w:rsidR="0057273C" w:rsidTr="007459A5">
        <w:tc>
          <w:tcPr>
            <w:tcW w:w="1256"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4-А</w:t>
            </w:r>
          </w:p>
        </w:tc>
        <w:tc>
          <w:tcPr>
            <w:tcW w:w="126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26</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15</w:t>
            </w:r>
          </w:p>
        </w:tc>
        <w:tc>
          <w:tcPr>
            <w:tcW w:w="121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8</w:t>
            </w:r>
          </w:p>
        </w:tc>
        <w:tc>
          <w:tcPr>
            <w:tcW w:w="1211"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1281"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69</w:t>
            </w:r>
          </w:p>
        </w:tc>
        <w:tc>
          <w:tcPr>
            <w:tcW w:w="178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r>
    </w:tbl>
    <w:p w:rsidR="0057273C" w:rsidRDefault="0057273C" w:rsidP="0057273C">
      <w:pPr>
        <w:jc w:val="center"/>
        <w:rPr>
          <w:b/>
          <w:sz w:val="28"/>
          <w:szCs w:val="28"/>
          <w:lang w:val="uk-UA"/>
        </w:rPr>
      </w:pPr>
    </w:p>
    <w:p w:rsidR="0057273C" w:rsidRDefault="0057273C" w:rsidP="0057273C">
      <w:pPr>
        <w:jc w:val="center"/>
        <w:rPr>
          <w:b/>
          <w:sz w:val="28"/>
          <w:szCs w:val="28"/>
          <w:lang w:val="uk-UA"/>
        </w:rPr>
      </w:pPr>
      <w:r>
        <w:rPr>
          <w:b/>
          <w:sz w:val="28"/>
          <w:szCs w:val="28"/>
          <w:lang w:val="uk-UA"/>
        </w:rPr>
        <w:t>Порівняльна таблиця успішності учнів початкових класів минулого та поточного навчального років показують позитивну динаміку:</w:t>
      </w:r>
    </w:p>
    <w:tbl>
      <w:tblPr>
        <w:tblStyle w:val="a3"/>
        <w:tblW w:w="10455" w:type="dxa"/>
        <w:tblLayout w:type="fixed"/>
        <w:tblLook w:val="04A0"/>
      </w:tblPr>
      <w:tblGrid>
        <w:gridCol w:w="873"/>
        <w:gridCol w:w="652"/>
        <w:gridCol w:w="567"/>
        <w:gridCol w:w="567"/>
        <w:gridCol w:w="567"/>
        <w:gridCol w:w="567"/>
        <w:gridCol w:w="709"/>
        <w:gridCol w:w="708"/>
        <w:gridCol w:w="850"/>
        <w:gridCol w:w="709"/>
        <w:gridCol w:w="568"/>
        <w:gridCol w:w="567"/>
        <w:gridCol w:w="566"/>
        <w:gridCol w:w="567"/>
        <w:gridCol w:w="709"/>
        <w:gridCol w:w="709"/>
      </w:tblGrid>
      <w:tr w:rsidR="0057273C" w:rsidTr="007459A5">
        <w:tc>
          <w:tcPr>
            <w:tcW w:w="5211" w:type="dxa"/>
            <w:gridSpan w:val="8"/>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2016-2017 </w:t>
            </w:r>
            <w:proofErr w:type="spellStart"/>
            <w:r>
              <w:rPr>
                <w:sz w:val="28"/>
                <w:szCs w:val="28"/>
                <w:lang w:val="uk-UA"/>
              </w:rPr>
              <w:t>н.р</w:t>
            </w:r>
            <w:proofErr w:type="spellEnd"/>
            <w:r>
              <w:rPr>
                <w:sz w:val="28"/>
                <w:szCs w:val="28"/>
                <w:lang w:val="uk-UA"/>
              </w:rPr>
              <w:t>.</w:t>
            </w:r>
          </w:p>
        </w:tc>
        <w:tc>
          <w:tcPr>
            <w:tcW w:w="5245" w:type="dxa"/>
            <w:gridSpan w:val="8"/>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2017-2018 </w:t>
            </w:r>
            <w:proofErr w:type="spellStart"/>
            <w:r>
              <w:rPr>
                <w:sz w:val="28"/>
                <w:szCs w:val="28"/>
                <w:lang w:val="uk-UA"/>
              </w:rPr>
              <w:t>н.р</w:t>
            </w:r>
            <w:proofErr w:type="spellEnd"/>
            <w:r>
              <w:rPr>
                <w:sz w:val="28"/>
                <w:szCs w:val="28"/>
                <w:lang w:val="uk-UA"/>
              </w:rPr>
              <w:t>.</w:t>
            </w:r>
          </w:p>
        </w:tc>
      </w:tr>
      <w:tr w:rsidR="0057273C" w:rsidTr="007459A5">
        <w:tc>
          <w:tcPr>
            <w:tcW w:w="874"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Клас</w:t>
            </w:r>
          </w:p>
        </w:tc>
        <w:tc>
          <w:tcPr>
            <w:tcW w:w="652"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К. </w:t>
            </w:r>
            <w:proofErr w:type="spellStart"/>
            <w:r>
              <w:rPr>
                <w:sz w:val="28"/>
                <w:szCs w:val="28"/>
                <w:lang w:val="uk-UA"/>
              </w:rPr>
              <w:t>учн</w:t>
            </w:r>
            <w:proofErr w:type="spellEnd"/>
            <w:r>
              <w:rPr>
                <w:sz w:val="28"/>
                <w:szCs w:val="28"/>
                <w:lang w:val="uk-UA"/>
              </w:rPr>
              <w:t>.</w:t>
            </w:r>
          </w:p>
        </w:tc>
        <w:tc>
          <w:tcPr>
            <w:tcW w:w="2268" w:type="dxa"/>
            <w:gridSpan w:val="4"/>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Рівень навчальних досягнень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Як. %</w:t>
            </w:r>
          </w:p>
        </w:tc>
        <w:tc>
          <w:tcPr>
            <w:tcW w:w="708"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proofErr w:type="spellStart"/>
            <w:r>
              <w:rPr>
                <w:sz w:val="28"/>
                <w:szCs w:val="28"/>
                <w:lang w:val="uk-UA"/>
              </w:rPr>
              <w:t>Усп</w:t>
            </w:r>
            <w:proofErr w:type="spellEnd"/>
            <w:r>
              <w:rPr>
                <w:sz w:val="28"/>
                <w:szCs w:val="28"/>
                <w:lang w:val="uk-UA"/>
              </w:rPr>
              <w:t xml:space="preserve"> %</w:t>
            </w:r>
          </w:p>
        </w:tc>
        <w:tc>
          <w:tcPr>
            <w:tcW w:w="850"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Клас </w:t>
            </w:r>
          </w:p>
        </w:tc>
        <w:tc>
          <w:tcPr>
            <w:tcW w:w="709"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К.</w:t>
            </w:r>
          </w:p>
          <w:p w:rsidR="0057273C" w:rsidRDefault="0057273C" w:rsidP="007459A5">
            <w:pPr>
              <w:jc w:val="center"/>
              <w:rPr>
                <w:sz w:val="28"/>
                <w:szCs w:val="28"/>
                <w:lang w:val="uk-UA"/>
              </w:rPr>
            </w:pPr>
            <w:proofErr w:type="spellStart"/>
            <w:r>
              <w:rPr>
                <w:sz w:val="28"/>
                <w:szCs w:val="28"/>
                <w:lang w:val="uk-UA"/>
              </w:rPr>
              <w:t>учн</w:t>
            </w:r>
            <w:proofErr w:type="spellEnd"/>
            <w:r>
              <w:rPr>
                <w:sz w:val="28"/>
                <w:szCs w:val="28"/>
                <w:lang w:val="uk-UA"/>
              </w:rPr>
              <w:t>.</w:t>
            </w:r>
          </w:p>
        </w:tc>
        <w:tc>
          <w:tcPr>
            <w:tcW w:w="2268" w:type="dxa"/>
            <w:gridSpan w:val="4"/>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Рівень навчальних досягнень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Як.%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proofErr w:type="spellStart"/>
            <w:r>
              <w:rPr>
                <w:sz w:val="28"/>
                <w:szCs w:val="28"/>
                <w:lang w:val="uk-UA"/>
              </w:rPr>
              <w:t>Усп</w:t>
            </w:r>
            <w:proofErr w:type="spellEnd"/>
            <w:r>
              <w:rPr>
                <w:sz w:val="28"/>
                <w:szCs w:val="28"/>
                <w:lang w:val="uk-UA"/>
              </w:rPr>
              <w:t>%</w:t>
            </w:r>
          </w:p>
        </w:tc>
      </w:tr>
      <w:tr w:rsidR="0057273C" w:rsidTr="007459A5">
        <w:tc>
          <w:tcPr>
            <w:tcW w:w="5211"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В</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Д</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С</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П</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568"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В </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Д </w:t>
            </w:r>
          </w:p>
        </w:tc>
        <w:tc>
          <w:tcPr>
            <w:tcW w:w="566"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С </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П  </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sz w:val="28"/>
                <w:szCs w:val="28"/>
                <w:lang w:val="uk-UA"/>
              </w:rPr>
            </w:pPr>
          </w:p>
        </w:tc>
      </w:tr>
      <w:tr w:rsidR="0057273C" w:rsidTr="007459A5">
        <w:tc>
          <w:tcPr>
            <w:tcW w:w="87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1-А</w:t>
            </w:r>
          </w:p>
        </w:tc>
        <w:tc>
          <w:tcPr>
            <w:tcW w:w="652" w:type="dxa"/>
            <w:tcBorders>
              <w:top w:val="single" w:sz="4" w:space="0" w:color="auto"/>
              <w:left w:val="single" w:sz="4" w:space="0" w:color="auto"/>
              <w:bottom w:val="single" w:sz="4" w:space="0" w:color="auto"/>
              <w:right w:val="single" w:sz="4" w:space="0" w:color="auto"/>
            </w:tcBorders>
            <w:hideMark/>
          </w:tcPr>
          <w:p w:rsidR="0057273C" w:rsidRDefault="0057273C" w:rsidP="007459A5">
            <w:pPr>
              <w:rPr>
                <w:lang w:val="uk-UA"/>
              </w:rPr>
            </w:pPr>
            <w:r>
              <w:rPr>
                <w:lang w:val="uk-UA"/>
              </w:rPr>
              <w:t>33</w:t>
            </w:r>
          </w:p>
        </w:tc>
        <w:tc>
          <w:tcPr>
            <w:tcW w:w="2268" w:type="dxa"/>
            <w:gridSpan w:val="4"/>
            <w:tcBorders>
              <w:top w:val="single" w:sz="4" w:space="0" w:color="auto"/>
              <w:left w:val="single" w:sz="4" w:space="0" w:color="auto"/>
              <w:bottom w:val="single" w:sz="4" w:space="0" w:color="auto"/>
              <w:right w:val="single" w:sz="4" w:space="0" w:color="auto"/>
            </w:tcBorders>
            <w:hideMark/>
          </w:tcPr>
          <w:p w:rsidR="0057273C" w:rsidRDefault="0057273C" w:rsidP="007459A5">
            <w:pPr>
              <w:rPr>
                <w:sz w:val="28"/>
                <w:szCs w:val="28"/>
              </w:rPr>
            </w:pPr>
            <w:proofErr w:type="spellStart"/>
            <w:r>
              <w:rPr>
                <w:sz w:val="28"/>
                <w:szCs w:val="28"/>
              </w:rPr>
              <w:t>Вербальне</w:t>
            </w:r>
            <w:proofErr w:type="spellEnd"/>
            <w:r>
              <w:rPr>
                <w:sz w:val="28"/>
                <w:szCs w:val="28"/>
              </w:rPr>
              <w:t xml:space="preserve"> </w:t>
            </w:r>
            <w:proofErr w:type="spellStart"/>
            <w:r>
              <w:rPr>
                <w:sz w:val="28"/>
                <w:szCs w:val="28"/>
              </w:rPr>
              <w:t>оцінювання</w:t>
            </w:r>
            <w:proofErr w:type="spellEnd"/>
          </w:p>
        </w:tc>
        <w:tc>
          <w:tcPr>
            <w:tcW w:w="709" w:type="dxa"/>
            <w:tcBorders>
              <w:top w:val="single" w:sz="4" w:space="0" w:color="auto"/>
              <w:left w:val="single" w:sz="4" w:space="0" w:color="auto"/>
              <w:bottom w:val="single" w:sz="4" w:space="0" w:color="auto"/>
              <w:right w:val="single" w:sz="4" w:space="0" w:color="auto"/>
            </w:tcBorders>
          </w:tcPr>
          <w:p w:rsidR="0057273C" w:rsidRDefault="0057273C" w:rsidP="007459A5">
            <w:pPr>
              <w:rPr>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57273C" w:rsidRDefault="0057273C" w:rsidP="007459A5">
            <w:pPr>
              <w:rPr>
                <w:sz w:val="28"/>
                <w:szCs w:val="28"/>
              </w:rPr>
            </w:pPr>
            <w:r>
              <w:rPr>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57273C" w:rsidRDefault="0057273C" w:rsidP="007459A5">
            <w:pPr>
              <w:rPr>
                <w:lang w:val="uk-UA"/>
              </w:rPr>
            </w:pPr>
            <w:r>
              <w:rPr>
                <w:lang w:val="uk-UA"/>
              </w:rPr>
              <w:t>1-А</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rPr>
                <w:lang w:val="uk-UA"/>
              </w:rPr>
            </w:pPr>
            <w:r>
              <w:rPr>
                <w:lang w:val="uk-UA"/>
              </w:rPr>
              <w:t>31</w:t>
            </w:r>
          </w:p>
        </w:tc>
        <w:tc>
          <w:tcPr>
            <w:tcW w:w="2268" w:type="dxa"/>
            <w:gridSpan w:val="4"/>
            <w:tcBorders>
              <w:top w:val="single" w:sz="4" w:space="0" w:color="auto"/>
              <w:left w:val="single" w:sz="4" w:space="0" w:color="auto"/>
              <w:bottom w:val="single" w:sz="4" w:space="0" w:color="auto"/>
              <w:right w:val="single" w:sz="4" w:space="0" w:color="auto"/>
            </w:tcBorders>
            <w:hideMark/>
          </w:tcPr>
          <w:p w:rsidR="0057273C" w:rsidRDefault="0057273C" w:rsidP="007459A5">
            <w:proofErr w:type="spellStart"/>
            <w:r>
              <w:rPr>
                <w:sz w:val="28"/>
                <w:szCs w:val="28"/>
              </w:rPr>
              <w:t>Вербальне</w:t>
            </w:r>
            <w:proofErr w:type="spellEnd"/>
            <w:r>
              <w:rPr>
                <w:sz w:val="28"/>
                <w:szCs w:val="28"/>
              </w:rPr>
              <w:t xml:space="preserve"> </w:t>
            </w:r>
            <w:proofErr w:type="spellStart"/>
            <w:r>
              <w:rPr>
                <w:sz w:val="28"/>
                <w:szCs w:val="28"/>
              </w:rPr>
              <w:t>оцінювання</w:t>
            </w:r>
            <w:proofErr w:type="spellEnd"/>
          </w:p>
        </w:tc>
        <w:tc>
          <w:tcPr>
            <w:tcW w:w="709" w:type="dxa"/>
            <w:tcBorders>
              <w:top w:val="single" w:sz="4" w:space="0" w:color="auto"/>
              <w:left w:val="single" w:sz="4" w:space="0" w:color="auto"/>
              <w:bottom w:val="single" w:sz="4" w:space="0" w:color="auto"/>
              <w:right w:val="single" w:sz="4" w:space="0" w:color="auto"/>
            </w:tcBorders>
          </w:tcPr>
          <w:p w:rsidR="0057273C" w:rsidRDefault="0057273C" w:rsidP="007459A5">
            <w:pPr>
              <w:jc w:val="center"/>
              <w:rPr>
                <w:sz w:val="28"/>
                <w:szCs w:val="28"/>
                <w:lang w:val="uk-UA"/>
              </w:rPr>
            </w:pP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r>
      <w:tr w:rsidR="0057273C" w:rsidTr="007459A5">
        <w:tc>
          <w:tcPr>
            <w:tcW w:w="87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2-А</w:t>
            </w:r>
          </w:p>
        </w:tc>
        <w:tc>
          <w:tcPr>
            <w:tcW w:w="652"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32</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23</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81,2</w:t>
            </w:r>
          </w:p>
        </w:tc>
        <w:tc>
          <w:tcPr>
            <w:tcW w:w="708"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c>
          <w:tcPr>
            <w:tcW w:w="85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2-А</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32</w:t>
            </w:r>
          </w:p>
        </w:tc>
        <w:tc>
          <w:tcPr>
            <w:tcW w:w="568"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7</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20</w:t>
            </w:r>
          </w:p>
        </w:tc>
        <w:tc>
          <w:tcPr>
            <w:tcW w:w="566"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84,4</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r>
      <w:tr w:rsidR="0057273C" w:rsidTr="007459A5">
        <w:tc>
          <w:tcPr>
            <w:tcW w:w="87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3-А</w:t>
            </w:r>
          </w:p>
        </w:tc>
        <w:tc>
          <w:tcPr>
            <w:tcW w:w="652"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29</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8</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72,4</w:t>
            </w:r>
          </w:p>
        </w:tc>
        <w:tc>
          <w:tcPr>
            <w:tcW w:w="708"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c>
          <w:tcPr>
            <w:tcW w:w="85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3-А</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31</w:t>
            </w:r>
          </w:p>
        </w:tc>
        <w:tc>
          <w:tcPr>
            <w:tcW w:w="568"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4</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21</w:t>
            </w:r>
          </w:p>
        </w:tc>
        <w:tc>
          <w:tcPr>
            <w:tcW w:w="566"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80,6</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r>
      <w:tr w:rsidR="0057273C" w:rsidTr="007459A5">
        <w:tc>
          <w:tcPr>
            <w:tcW w:w="87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4-А</w:t>
            </w:r>
          </w:p>
        </w:tc>
        <w:tc>
          <w:tcPr>
            <w:tcW w:w="652"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26</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15</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80,7</w:t>
            </w:r>
          </w:p>
        </w:tc>
        <w:tc>
          <w:tcPr>
            <w:tcW w:w="708"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c>
          <w:tcPr>
            <w:tcW w:w="850"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 xml:space="preserve">4-А </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26</w:t>
            </w:r>
          </w:p>
        </w:tc>
        <w:tc>
          <w:tcPr>
            <w:tcW w:w="568"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15</w:t>
            </w:r>
          </w:p>
        </w:tc>
        <w:tc>
          <w:tcPr>
            <w:tcW w:w="566"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8</w:t>
            </w:r>
          </w:p>
        </w:tc>
        <w:tc>
          <w:tcPr>
            <w:tcW w:w="56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69</w:t>
            </w:r>
          </w:p>
        </w:tc>
        <w:tc>
          <w:tcPr>
            <w:tcW w:w="709"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sz w:val="28"/>
                <w:szCs w:val="28"/>
                <w:lang w:val="uk-UA"/>
              </w:rPr>
            </w:pPr>
            <w:r>
              <w:rPr>
                <w:sz w:val="28"/>
                <w:szCs w:val="28"/>
                <w:lang w:val="uk-UA"/>
              </w:rPr>
              <w:t>100</w:t>
            </w:r>
          </w:p>
        </w:tc>
      </w:tr>
    </w:tbl>
    <w:p w:rsidR="0057273C" w:rsidRDefault="0057273C" w:rsidP="0057273C">
      <w:pPr>
        <w:rPr>
          <w:b/>
          <w:sz w:val="28"/>
          <w:szCs w:val="28"/>
          <w:lang w:val="uk-UA"/>
        </w:rPr>
      </w:pPr>
    </w:p>
    <w:p w:rsidR="0057273C" w:rsidRDefault="0057273C" w:rsidP="0057273C">
      <w:pPr>
        <w:jc w:val="center"/>
        <w:rPr>
          <w:b/>
          <w:sz w:val="28"/>
          <w:szCs w:val="28"/>
          <w:lang w:val="uk-UA"/>
        </w:rPr>
      </w:pPr>
    </w:p>
    <w:p w:rsidR="0057273C" w:rsidRDefault="0057273C" w:rsidP="0057273C">
      <w:pPr>
        <w:jc w:val="center"/>
        <w:rPr>
          <w:b/>
          <w:sz w:val="28"/>
          <w:szCs w:val="28"/>
          <w:lang w:val="uk-UA"/>
        </w:rPr>
      </w:pPr>
    </w:p>
    <w:p w:rsidR="0057273C" w:rsidRDefault="0057273C" w:rsidP="0057273C">
      <w:pPr>
        <w:jc w:val="center"/>
        <w:rPr>
          <w:b/>
          <w:sz w:val="28"/>
          <w:szCs w:val="28"/>
          <w:lang w:val="uk-UA"/>
        </w:rPr>
      </w:pPr>
    </w:p>
    <w:p w:rsidR="0057273C" w:rsidRDefault="0057273C" w:rsidP="0057273C">
      <w:pPr>
        <w:jc w:val="center"/>
        <w:rPr>
          <w:b/>
          <w:sz w:val="28"/>
          <w:szCs w:val="28"/>
          <w:lang w:val="uk-UA"/>
        </w:rPr>
      </w:pPr>
    </w:p>
    <w:p w:rsidR="0057273C" w:rsidRDefault="0057273C" w:rsidP="0057273C">
      <w:pPr>
        <w:jc w:val="center"/>
        <w:rPr>
          <w:b/>
          <w:sz w:val="28"/>
          <w:szCs w:val="28"/>
          <w:lang w:val="uk-UA"/>
        </w:rPr>
      </w:pPr>
    </w:p>
    <w:p w:rsidR="0057273C" w:rsidRDefault="0057273C" w:rsidP="0057273C">
      <w:pPr>
        <w:jc w:val="center"/>
        <w:rPr>
          <w:b/>
          <w:sz w:val="28"/>
          <w:szCs w:val="28"/>
          <w:lang w:val="uk-UA"/>
        </w:rPr>
      </w:pPr>
    </w:p>
    <w:p w:rsidR="0057273C" w:rsidRDefault="0057273C" w:rsidP="0057273C">
      <w:pPr>
        <w:jc w:val="center"/>
        <w:rPr>
          <w:b/>
          <w:sz w:val="28"/>
          <w:szCs w:val="28"/>
          <w:lang w:val="uk-UA"/>
        </w:rPr>
      </w:pPr>
      <w:r>
        <w:rPr>
          <w:b/>
          <w:sz w:val="28"/>
          <w:szCs w:val="28"/>
          <w:lang w:val="uk-UA"/>
        </w:rPr>
        <w:lastRenderedPageBreak/>
        <w:t>Аналіз успішності загальної кількості учнів початкової школи</w:t>
      </w:r>
    </w:p>
    <w:p w:rsidR="0057273C" w:rsidRDefault="0057273C" w:rsidP="0057273C">
      <w:pPr>
        <w:jc w:val="center"/>
        <w:rPr>
          <w:b/>
          <w:sz w:val="28"/>
          <w:szCs w:val="28"/>
          <w:lang w:val="uk-UA"/>
        </w:rPr>
      </w:pPr>
      <w:r>
        <w:rPr>
          <w:b/>
          <w:sz w:val="28"/>
          <w:szCs w:val="28"/>
          <w:lang w:val="uk-UA"/>
        </w:rPr>
        <w:t xml:space="preserve">за 2017-2018 </w:t>
      </w:r>
      <w:proofErr w:type="spellStart"/>
      <w:r>
        <w:rPr>
          <w:b/>
          <w:sz w:val="28"/>
          <w:szCs w:val="28"/>
          <w:lang w:val="uk-UA"/>
        </w:rPr>
        <w:t>н.р</w:t>
      </w:r>
      <w:proofErr w:type="spellEnd"/>
      <w:r>
        <w:rPr>
          <w:b/>
          <w:sz w:val="28"/>
          <w:szCs w:val="28"/>
          <w:lang w:val="uk-UA"/>
        </w:rPr>
        <w:t>.</w:t>
      </w:r>
    </w:p>
    <w:tbl>
      <w:tblPr>
        <w:tblpPr w:leftFromText="180" w:rightFromText="180" w:vertAnchor="text" w:horzAnchor="margin" w:tblpXSpec="center" w:tblpY="179"/>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439"/>
        <w:gridCol w:w="905"/>
        <w:gridCol w:w="894"/>
        <w:gridCol w:w="915"/>
        <w:gridCol w:w="1065"/>
        <w:gridCol w:w="1065"/>
        <w:gridCol w:w="915"/>
      </w:tblGrid>
      <w:tr w:rsidR="0057273C" w:rsidTr="007459A5">
        <w:trPr>
          <w:cantSplit/>
          <w:trHeight w:val="568"/>
        </w:trPr>
        <w:tc>
          <w:tcPr>
            <w:tcW w:w="1187"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bCs/>
                <w:lang w:val="uk-UA"/>
              </w:rPr>
            </w:pPr>
            <w:r>
              <w:rPr>
                <w:bCs/>
                <w:lang w:val="uk-UA"/>
              </w:rPr>
              <w:t>класи</w:t>
            </w:r>
          </w:p>
        </w:tc>
        <w:tc>
          <w:tcPr>
            <w:tcW w:w="1439" w:type="dxa"/>
            <w:vMerge w:val="restart"/>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bCs/>
                <w:lang w:val="uk-UA"/>
              </w:rPr>
            </w:pPr>
            <w:r>
              <w:rPr>
                <w:bCs/>
                <w:lang w:val="uk-UA"/>
              </w:rPr>
              <w:t>Всього учнів</w:t>
            </w:r>
          </w:p>
        </w:tc>
        <w:tc>
          <w:tcPr>
            <w:tcW w:w="5759" w:type="dxa"/>
            <w:gridSpan w:val="6"/>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bCs/>
                <w:lang w:val="uk-UA"/>
              </w:rPr>
            </w:pPr>
            <w:r>
              <w:rPr>
                <w:bCs/>
                <w:lang w:val="uk-UA"/>
              </w:rPr>
              <w:t xml:space="preserve">Оцінка за 2017-2018 </w:t>
            </w:r>
            <w:proofErr w:type="spellStart"/>
            <w:r>
              <w:rPr>
                <w:bCs/>
                <w:lang w:val="uk-UA"/>
              </w:rPr>
              <w:t>н.р</w:t>
            </w:r>
            <w:proofErr w:type="spellEnd"/>
            <w:r>
              <w:rPr>
                <w:bCs/>
                <w:lang w:val="uk-UA"/>
              </w:rPr>
              <w:t>.</w:t>
            </w:r>
          </w:p>
        </w:tc>
      </w:tr>
      <w:tr w:rsidR="0057273C" w:rsidTr="007459A5">
        <w:trPr>
          <w:cantSplit/>
          <w:trHeight w:val="152"/>
        </w:trPr>
        <w:tc>
          <w:tcPr>
            <w:tcW w:w="1187"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bCs/>
                <w:lang w:val="uk-UA"/>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57273C" w:rsidRDefault="0057273C" w:rsidP="007459A5">
            <w:pPr>
              <w:rPr>
                <w:bCs/>
                <w:lang w:val="uk-UA"/>
              </w:rPr>
            </w:pPr>
          </w:p>
        </w:tc>
        <w:tc>
          <w:tcPr>
            <w:tcW w:w="905"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bCs/>
                <w:lang w:val="uk-UA"/>
              </w:rPr>
            </w:pPr>
            <w:r>
              <w:rPr>
                <w:bCs/>
                <w:lang w:val="uk-UA"/>
              </w:rPr>
              <w:t>1-3 б.</w:t>
            </w:r>
          </w:p>
          <w:p w:rsidR="0057273C" w:rsidRDefault="0057273C" w:rsidP="007459A5">
            <w:pPr>
              <w:jc w:val="center"/>
              <w:rPr>
                <w:lang w:val="uk-UA"/>
              </w:rPr>
            </w:pPr>
            <w:r>
              <w:rPr>
                <w:lang w:val="uk-UA"/>
              </w:rPr>
              <w:t>%</w:t>
            </w:r>
          </w:p>
        </w:tc>
        <w:tc>
          <w:tcPr>
            <w:tcW w:w="894"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4-6 б. %</w:t>
            </w:r>
          </w:p>
        </w:tc>
        <w:tc>
          <w:tcPr>
            <w:tcW w:w="915"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7-9 б. %</w:t>
            </w:r>
          </w:p>
        </w:tc>
        <w:tc>
          <w:tcPr>
            <w:tcW w:w="1065" w:type="dxa"/>
            <w:tcBorders>
              <w:top w:val="single" w:sz="4" w:space="0" w:color="auto"/>
              <w:left w:val="single" w:sz="4" w:space="0" w:color="auto"/>
              <w:bottom w:val="single" w:sz="4" w:space="0" w:color="auto"/>
              <w:right w:val="single" w:sz="4" w:space="0" w:color="auto"/>
            </w:tcBorders>
          </w:tcPr>
          <w:p w:rsidR="0057273C" w:rsidRDefault="0057273C" w:rsidP="007459A5">
            <w:pPr>
              <w:jc w:val="center"/>
              <w:rPr>
                <w:lang w:val="uk-UA"/>
              </w:rPr>
            </w:pPr>
            <w:r>
              <w:rPr>
                <w:lang w:val="uk-UA"/>
              </w:rPr>
              <w:t>10-12 б. %</w:t>
            </w:r>
          </w:p>
          <w:p w:rsidR="0057273C" w:rsidRDefault="0057273C" w:rsidP="007459A5">
            <w:pPr>
              <w:jc w:val="center"/>
              <w:rPr>
                <w:lang w:val="uk-UA"/>
              </w:rPr>
            </w:pPr>
          </w:p>
        </w:tc>
        <w:tc>
          <w:tcPr>
            <w:tcW w:w="1065"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bCs/>
                <w:lang w:val="uk-UA"/>
              </w:rPr>
            </w:pPr>
            <w:proofErr w:type="spellStart"/>
            <w:r>
              <w:rPr>
                <w:bCs/>
                <w:lang w:val="uk-UA"/>
              </w:rPr>
              <w:t>Атесто</w:t>
            </w:r>
            <w:proofErr w:type="spellEnd"/>
          </w:p>
          <w:p w:rsidR="0057273C" w:rsidRDefault="0057273C" w:rsidP="007459A5">
            <w:pPr>
              <w:jc w:val="center"/>
              <w:rPr>
                <w:bCs/>
                <w:lang w:val="uk-UA"/>
              </w:rPr>
            </w:pPr>
            <w:r>
              <w:rPr>
                <w:bCs/>
                <w:lang w:val="uk-UA"/>
              </w:rPr>
              <w:t xml:space="preserve"> </w:t>
            </w:r>
            <w:proofErr w:type="spellStart"/>
            <w:r>
              <w:rPr>
                <w:bCs/>
                <w:lang w:val="uk-UA"/>
              </w:rPr>
              <w:t>вано</w:t>
            </w:r>
            <w:proofErr w:type="spellEnd"/>
          </w:p>
        </w:tc>
        <w:tc>
          <w:tcPr>
            <w:tcW w:w="915"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bCs/>
                <w:lang w:val="uk-UA"/>
              </w:rPr>
            </w:pPr>
            <w:r>
              <w:rPr>
                <w:bCs/>
                <w:lang w:val="uk-UA"/>
              </w:rPr>
              <w:t xml:space="preserve">Не </w:t>
            </w:r>
            <w:proofErr w:type="spellStart"/>
            <w:r>
              <w:rPr>
                <w:bCs/>
                <w:lang w:val="uk-UA"/>
              </w:rPr>
              <w:t>атест</w:t>
            </w:r>
            <w:proofErr w:type="spellEnd"/>
          </w:p>
        </w:tc>
      </w:tr>
      <w:tr w:rsidR="0057273C" w:rsidTr="007459A5">
        <w:trPr>
          <w:cantSplit/>
          <w:trHeight w:val="611"/>
        </w:trPr>
        <w:tc>
          <w:tcPr>
            <w:tcW w:w="1187"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1-4 Всього 4</w:t>
            </w:r>
          </w:p>
          <w:p w:rsidR="0057273C" w:rsidRDefault="0057273C" w:rsidP="007459A5">
            <w:pPr>
              <w:rPr>
                <w:lang w:val="uk-UA"/>
              </w:rPr>
            </w:pPr>
            <w:r>
              <w:rPr>
                <w:lang w:val="uk-UA"/>
              </w:rPr>
              <w:t xml:space="preserve">Без </w:t>
            </w:r>
            <w:proofErr w:type="spellStart"/>
            <w:r>
              <w:rPr>
                <w:lang w:val="uk-UA"/>
              </w:rPr>
              <w:t>Ікл</w:t>
            </w:r>
            <w:proofErr w:type="spellEnd"/>
            <w:r>
              <w:rPr>
                <w:lang w:val="uk-UA"/>
              </w:rPr>
              <w:t>-3</w:t>
            </w:r>
          </w:p>
        </w:tc>
        <w:tc>
          <w:tcPr>
            <w:tcW w:w="1439" w:type="dxa"/>
            <w:tcBorders>
              <w:top w:val="single" w:sz="4" w:space="0" w:color="auto"/>
              <w:left w:val="single" w:sz="4" w:space="0" w:color="auto"/>
              <w:bottom w:val="single" w:sz="4" w:space="0" w:color="auto"/>
              <w:right w:val="single" w:sz="4" w:space="0" w:color="auto"/>
            </w:tcBorders>
            <w:hideMark/>
          </w:tcPr>
          <w:p w:rsidR="0057273C" w:rsidRDefault="0057273C" w:rsidP="007459A5">
            <w:pPr>
              <w:rPr>
                <w:lang w:val="uk-UA"/>
              </w:rPr>
            </w:pPr>
            <w:r>
              <w:rPr>
                <w:color w:val="FF0000"/>
                <w:lang w:val="uk-UA"/>
              </w:rPr>
              <w:t xml:space="preserve">    </w:t>
            </w:r>
            <w:r>
              <w:rPr>
                <w:lang w:val="uk-UA"/>
              </w:rPr>
              <w:t>120</w:t>
            </w:r>
          </w:p>
          <w:p w:rsidR="0057273C" w:rsidRDefault="0057273C" w:rsidP="007459A5">
            <w:pPr>
              <w:rPr>
                <w:lang w:val="uk-UA"/>
              </w:rPr>
            </w:pPr>
            <w:r>
              <w:rPr>
                <w:lang w:val="uk-UA"/>
              </w:rPr>
              <w:t xml:space="preserve">Без </w:t>
            </w:r>
            <w:proofErr w:type="spellStart"/>
            <w:r>
              <w:rPr>
                <w:lang w:val="uk-UA"/>
              </w:rPr>
              <w:t>Ікл</w:t>
            </w:r>
            <w:proofErr w:type="spellEnd"/>
            <w:r>
              <w:rPr>
                <w:lang w:val="uk-UA"/>
              </w:rPr>
              <w:t>. 89</w:t>
            </w:r>
          </w:p>
        </w:tc>
        <w:tc>
          <w:tcPr>
            <w:tcW w:w="905"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w:t>
            </w:r>
          </w:p>
        </w:tc>
        <w:tc>
          <w:tcPr>
            <w:tcW w:w="894" w:type="dxa"/>
            <w:tcBorders>
              <w:top w:val="single" w:sz="4" w:space="0" w:color="auto"/>
              <w:left w:val="single" w:sz="4" w:space="0" w:color="auto"/>
              <w:bottom w:val="single" w:sz="4" w:space="0" w:color="auto"/>
              <w:right w:val="single" w:sz="4" w:space="0" w:color="auto"/>
            </w:tcBorders>
            <w:hideMark/>
          </w:tcPr>
          <w:p w:rsidR="0057273C" w:rsidRDefault="0057273C" w:rsidP="007459A5">
            <w:pPr>
              <w:rPr>
                <w:lang w:val="uk-UA"/>
              </w:rPr>
            </w:pPr>
            <w:r>
              <w:rPr>
                <w:lang w:val="uk-UA"/>
              </w:rPr>
              <w:t>19</w:t>
            </w:r>
          </w:p>
          <w:p w:rsidR="0057273C" w:rsidRDefault="0057273C" w:rsidP="007459A5">
            <w:pPr>
              <w:jc w:val="center"/>
              <w:rPr>
                <w:lang w:val="uk-UA"/>
              </w:rPr>
            </w:pPr>
            <w:r>
              <w:rPr>
                <w:lang w:val="uk-UA"/>
              </w:rPr>
              <w:t>21,3%</w:t>
            </w:r>
          </w:p>
        </w:tc>
        <w:tc>
          <w:tcPr>
            <w:tcW w:w="915" w:type="dxa"/>
            <w:tcBorders>
              <w:top w:val="single" w:sz="4" w:space="0" w:color="auto"/>
              <w:left w:val="single" w:sz="4" w:space="0" w:color="auto"/>
              <w:bottom w:val="single" w:sz="4" w:space="0" w:color="auto"/>
              <w:right w:val="single" w:sz="4" w:space="0" w:color="auto"/>
            </w:tcBorders>
            <w:hideMark/>
          </w:tcPr>
          <w:p w:rsidR="0057273C" w:rsidRDefault="0057273C" w:rsidP="007459A5">
            <w:pPr>
              <w:rPr>
                <w:lang w:val="uk-UA"/>
              </w:rPr>
            </w:pPr>
            <w:r>
              <w:rPr>
                <w:lang w:val="uk-UA"/>
              </w:rPr>
              <w:t xml:space="preserve">   54</w:t>
            </w:r>
          </w:p>
          <w:p w:rsidR="0057273C" w:rsidRDefault="0057273C" w:rsidP="007459A5">
            <w:pPr>
              <w:jc w:val="center"/>
              <w:rPr>
                <w:lang w:val="uk-UA"/>
              </w:rPr>
            </w:pPr>
            <w:r>
              <w:rPr>
                <w:lang w:val="uk-UA"/>
              </w:rPr>
              <w:t>62,9%</w:t>
            </w:r>
          </w:p>
        </w:tc>
        <w:tc>
          <w:tcPr>
            <w:tcW w:w="1065" w:type="dxa"/>
            <w:tcBorders>
              <w:top w:val="single" w:sz="4" w:space="0" w:color="auto"/>
              <w:left w:val="single" w:sz="4" w:space="0" w:color="auto"/>
              <w:bottom w:val="single" w:sz="4" w:space="0" w:color="auto"/>
              <w:right w:val="single" w:sz="4" w:space="0" w:color="auto"/>
            </w:tcBorders>
            <w:hideMark/>
          </w:tcPr>
          <w:p w:rsidR="0057273C" w:rsidRDefault="0057273C" w:rsidP="007459A5">
            <w:pPr>
              <w:jc w:val="center"/>
              <w:rPr>
                <w:lang w:val="uk-UA"/>
              </w:rPr>
            </w:pPr>
            <w:r>
              <w:rPr>
                <w:lang w:val="uk-UA"/>
              </w:rPr>
              <w:t>14</w:t>
            </w:r>
          </w:p>
          <w:p w:rsidR="0057273C" w:rsidRDefault="0057273C" w:rsidP="007459A5">
            <w:pPr>
              <w:jc w:val="center"/>
              <w:rPr>
                <w:lang w:val="uk-UA"/>
              </w:rPr>
            </w:pPr>
            <w:r>
              <w:rPr>
                <w:lang w:val="uk-UA"/>
              </w:rPr>
              <w:t>15,7%</w:t>
            </w:r>
          </w:p>
        </w:tc>
        <w:tc>
          <w:tcPr>
            <w:tcW w:w="1065" w:type="dxa"/>
            <w:tcBorders>
              <w:top w:val="single" w:sz="4" w:space="0" w:color="auto"/>
              <w:left w:val="single" w:sz="4" w:space="0" w:color="auto"/>
              <w:bottom w:val="single" w:sz="4" w:space="0" w:color="auto"/>
              <w:right w:val="single" w:sz="4" w:space="0" w:color="auto"/>
            </w:tcBorders>
          </w:tcPr>
          <w:p w:rsidR="0057273C" w:rsidRDefault="0057273C" w:rsidP="007459A5">
            <w:pPr>
              <w:jc w:val="center"/>
              <w:rPr>
                <w:b/>
                <w:lang w:val="uk-UA"/>
              </w:rPr>
            </w:pPr>
            <w:r>
              <w:rPr>
                <w:b/>
                <w:lang w:val="uk-UA"/>
              </w:rPr>
              <w:t>100%</w:t>
            </w:r>
          </w:p>
          <w:p w:rsidR="0057273C" w:rsidRDefault="0057273C" w:rsidP="007459A5">
            <w:pPr>
              <w:jc w:val="center"/>
              <w:rPr>
                <w:lang w:val="uk-UA"/>
              </w:rPr>
            </w:pPr>
          </w:p>
        </w:tc>
        <w:tc>
          <w:tcPr>
            <w:tcW w:w="915" w:type="dxa"/>
            <w:tcBorders>
              <w:top w:val="single" w:sz="4" w:space="0" w:color="auto"/>
              <w:left w:val="single" w:sz="4" w:space="0" w:color="auto"/>
              <w:bottom w:val="single" w:sz="4" w:space="0" w:color="auto"/>
              <w:right w:val="single" w:sz="4" w:space="0" w:color="auto"/>
            </w:tcBorders>
          </w:tcPr>
          <w:p w:rsidR="0057273C" w:rsidRDefault="0057273C" w:rsidP="007459A5">
            <w:pPr>
              <w:rPr>
                <w:sz w:val="28"/>
                <w:szCs w:val="28"/>
                <w:lang w:val="uk-UA"/>
              </w:rPr>
            </w:pPr>
          </w:p>
          <w:p w:rsidR="0057273C" w:rsidRDefault="0057273C" w:rsidP="007459A5">
            <w:pPr>
              <w:rPr>
                <w:sz w:val="28"/>
                <w:szCs w:val="28"/>
                <w:lang w:val="uk-UA"/>
              </w:rPr>
            </w:pPr>
            <w:r>
              <w:rPr>
                <w:sz w:val="28"/>
                <w:szCs w:val="28"/>
                <w:lang w:val="uk-UA"/>
              </w:rPr>
              <w:t>-</w:t>
            </w:r>
          </w:p>
        </w:tc>
      </w:tr>
    </w:tbl>
    <w:p w:rsidR="0057273C" w:rsidRDefault="0057273C" w:rsidP="0057273C">
      <w:pPr>
        <w:jc w:val="center"/>
        <w:rPr>
          <w:b/>
          <w:sz w:val="28"/>
          <w:szCs w:val="28"/>
          <w:lang w:val="uk-UA"/>
        </w:rPr>
      </w:pPr>
    </w:p>
    <w:p w:rsidR="0057273C" w:rsidRDefault="0057273C" w:rsidP="0057273C">
      <w:pPr>
        <w:rPr>
          <w:b/>
          <w:sz w:val="28"/>
          <w:szCs w:val="28"/>
          <w:lang w:val="uk-UA"/>
        </w:rPr>
      </w:pPr>
    </w:p>
    <w:p w:rsidR="0057273C" w:rsidRDefault="0057273C" w:rsidP="0057273C">
      <w:pPr>
        <w:rPr>
          <w:b/>
          <w:sz w:val="28"/>
          <w:szCs w:val="28"/>
          <w:lang w:val="uk-UA"/>
        </w:rPr>
      </w:pPr>
    </w:p>
    <w:p w:rsidR="0057273C" w:rsidRDefault="0057273C" w:rsidP="0057273C">
      <w:pPr>
        <w:rPr>
          <w:b/>
          <w:sz w:val="28"/>
          <w:szCs w:val="28"/>
          <w:lang w:val="uk-UA"/>
        </w:rPr>
      </w:pPr>
    </w:p>
    <w:p w:rsidR="0057273C" w:rsidRDefault="0057273C" w:rsidP="0057273C">
      <w:pPr>
        <w:rPr>
          <w:b/>
          <w:sz w:val="28"/>
          <w:szCs w:val="28"/>
          <w:lang w:val="uk-UA"/>
        </w:rPr>
      </w:pPr>
    </w:p>
    <w:p w:rsidR="0057273C" w:rsidRDefault="0057273C" w:rsidP="0057273C">
      <w:pPr>
        <w:rPr>
          <w:b/>
          <w:sz w:val="28"/>
          <w:szCs w:val="28"/>
          <w:lang w:val="uk-UA"/>
        </w:rPr>
      </w:pPr>
    </w:p>
    <w:p w:rsidR="0057273C" w:rsidRDefault="0057273C" w:rsidP="0057273C">
      <w:pPr>
        <w:rPr>
          <w:b/>
          <w:sz w:val="28"/>
          <w:szCs w:val="28"/>
          <w:lang w:val="uk-UA"/>
        </w:rPr>
      </w:pPr>
    </w:p>
    <w:p w:rsidR="0057273C" w:rsidRDefault="0057273C" w:rsidP="0057273C">
      <w:pPr>
        <w:rPr>
          <w:b/>
          <w:sz w:val="28"/>
          <w:szCs w:val="28"/>
          <w:lang w:val="uk-UA"/>
        </w:rPr>
      </w:pPr>
    </w:p>
    <w:p w:rsidR="0057273C" w:rsidRDefault="0057273C" w:rsidP="0057273C">
      <w:pPr>
        <w:jc w:val="center"/>
        <w:rPr>
          <w:b/>
          <w:sz w:val="28"/>
          <w:szCs w:val="28"/>
          <w:lang w:val="uk-UA"/>
        </w:rPr>
      </w:pPr>
      <w:r>
        <w:rPr>
          <w:b/>
          <w:sz w:val="28"/>
          <w:szCs w:val="28"/>
          <w:lang w:val="uk-UA"/>
        </w:rPr>
        <w:t xml:space="preserve">Успішність </w:t>
      </w:r>
      <w:proofErr w:type="spellStart"/>
      <w:r>
        <w:rPr>
          <w:b/>
          <w:sz w:val="28"/>
          <w:szCs w:val="28"/>
          <w:lang w:val="uk-UA"/>
        </w:rPr>
        <w:t>навчання–</w:t>
      </w:r>
      <w:proofErr w:type="spellEnd"/>
      <w:r>
        <w:rPr>
          <w:b/>
          <w:sz w:val="28"/>
          <w:szCs w:val="28"/>
          <w:lang w:val="uk-UA"/>
        </w:rPr>
        <w:t xml:space="preserve"> 100%, якісний показник навчання – 76,4%. </w:t>
      </w:r>
    </w:p>
    <w:p w:rsidR="0057273C" w:rsidRDefault="0057273C" w:rsidP="0057273C">
      <w:pPr>
        <w:jc w:val="center"/>
        <w:rPr>
          <w:b/>
          <w:sz w:val="28"/>
          <w:szCs w:val="28"/>
          <w:lang w:val="uk-UA"/>
        </w:rPr>
      </w:pPr>
      <w:r>
        <w:rPr>
          <w:b/>
          <w:sz w:val="28"/>
          <w:szCs w:val="28"/>
          <w:lang w:val="uk-UA"/>
        </w:rPr>
        <w:t xml:space="preserve">(за 2016-2017 </w:t>
      </w:r>
      <w:proofErr w:type="spellStart"/>
      <w:r>
        <w:rPr>
          <w:b/>
          <w:sz w:val="28"/>
          <w:szCs w:val="28"/>
          <w:lang w:val="uk-UA"/>
        </w:rPr>
        <w:t>н.р</w:t>
      </w:r>
      <w:proofErr w:type="spellEnd"/>
      <w:r>
        <w:rPr>
          <w:b/>
          <w:sz w:val="28"/>
          <w:szCs w:val="28"/>
          <w:lang w:val="uk-UA"/>
        </w:rPr>
        <w:t>. - 83,9%)</w:t>
      </w:r>
    </w:p>
    <w:p w:rsidR="0057273C" w:rsidRDefault="0057273C" w:rsidP="0057273C">
      <w:pPr>
        <w:jc w:val="center"/>
        <w:rPr>
          <w:b/>
          <w:sz w:val="28"/>
          <w:szCs w:val="28"/>
          <w:lang w:val="uk-UA"/>
        </w:rPr>
      </w:pPr>
      <w:r>
        <w:rPr>
          <w:b/>
          <w:sz w:val="28"/>
          <w:szCs w:val="28"/>
          <w:lang w:val="uk-UA"/>
        </w:rPr>
        <w:t>Інваріантна та варіативна частини навчального плану школи</w:t>
      </w:r>
    </w:p>
    <w:p w:rsidR="0057273C" w:rsidRDefault="0057273C" w:rsidP="0057273C">
      <w:pPr>
        <w:jc w:val="center"/>
        <w:rPr>
          <w:b/>
          <w:sz w:val="28"/>
          <w:szCs w:val="28"/>
          <w:lang w:val="uk-UA"/>
        </w:rPr>
      </w:pPr>
      <w:r>
        <w:rPr>
          <w:b/>
          <w:sz w:val="28"/>
          <w:szCs w:val="28"/>
          <w:lang w:val="uk-UA"/>
        </w:rPr>
        <w:t>виконано на 100%.</w:t>
      </w:r>
    </w:p>
    <w:p w:rsidR="0057273C" w:rsidRDefault="0057273C" w:rsidP="0057273C">
      <w:pPr>
        <w:jc w:val="center"/>
        <w:rPr>
          <w:b/>
          <w:sz w:val="28"/>
          <w:szCs w:val="28"/>
        </w:rPr>
      </w:pPr>
    </w:p>
    <w:p w:rsidR="00780D30" w:rsidRPr="00780D30" w:rsidRDefault="00780D30">
      <w:pPr>
        <w:rPr>
          <w:lang w:val="uk-UA"/>
        </w:rPr>
      </w:pPr>
    </w:p>
    <w:sectPr w:rsidR="00780D30" w:rsidRPr="00780D30" w:rsidSect="00780D30">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4D8"/>
    <w:multiLevelType w:val="hybridMultilevel"/>
    <w:tmpl w:val="05A87010"/>
    <w:lvl w:ilvl="0" w:tplc="93A6C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FD0618"/>
    <w:multiLevelType w:val="hybridMultilevel"/>
    <w:tmpl w:val="E1D66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F27A3A"/>
    <w:multiLevelType w:val="hybridMultilevel"/>
    <w:tmpl w:val="A2065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7037205"/>
    <w:multiLevelType w:val="hybridMultilevel"/>
    <w:tmpl w:val="8D465292"/>
    <w:lvl w:ilvl="0" w:tplc="CF209C0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A0811DC"/>
    <w:multiLevelType w:val="hybridMultilevel"/>
    <w:tmpl w:val="79A2AF1E"/>
    <w:lvl w:ilvl="0" w:tplc="ADD67BB6">
      <w:start w:val="2"/>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EA96E66"/>
    <w:multiLevelType w:val="hybridMultilevel"/>
    <w:tmpl w:val="3FC0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780D30"/>
    <w:rsid w:val="0057273C"/>
    <w:rsid w:val="00780D30"/>
    <w:rsid w:val="00E07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0D30"/>
    <w:pPr>
      <w:keepNext/>
      <w:jc w:val="center"/>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D30"/>
    <w:rPr>
      <w:rFonts w:ascii="Times New Roman" w:eastAsia="Times New Roman" w:hAnsi="Times New Roman" w:cs="Times New Roman"/>
      <w:sz w:val="32"/>
      <w:szCs w:val="24"/>
      <w:lang w:val="uk-UA" w:eastAsia="ru-RU"/>
    </w:rPr>
  </w:style>
  <w:style w:type="table" w:styleId="a3">
    <w:name w:val="Table Grid"/>
    <w:basedOn w:val="a1"/>
    <w:uiPriority w:val="39"/>
    <w:rsid w:val="00780D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80D30"/>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4230</Characters>
  <Application>Microsoft Office Word</Application>
  <DocSecurity>0</DocSecurity>
  <Lines>35</Lines>
  <Paragraphs>9</Paragraphs>
  <ScaleCrop>false</ScaleCrop>
  <Company>SPecialiST RePack</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Юрченко</cp:lastModifiedBy>
  <cp:revision>2</cp:revision>
  <dcterms:created xsi:type="dcterms:W3CDTF">2019-01-16T10:38:00Z</dcterms:created>
  <dcterms:modified xsi:type="dcterms:W3CDTF">2019-01-16T10:38:00Z</dcterms:modified>
</cp:coreProperties>
</file>